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REQUERIMENTO – RECONHECIMENTO DE SABERES E COMPETÊNCIAS- RSC </w:t>
      </w:r>
    </w:p>
    <w:p w:rsidR="00000000" w:rsidDel="00000000" w:rsidP="00000000" w:rsidRDefault="00000000" w:rsidRPr="00000000" w14:paraId="00000002">
      <w:pPr>
        <w:keepLines w:val="1"/>
        <w:spacing w:after="240" w:befor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Local, xx de xxxx de XXXX</w:t>
      </w:r>
    </w:p>
    <w:tbl>
      <w:tblPr>
        <w:tblStyle w:val="Table1"/>
        <w:tblW w:w="90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4512"/>
        <w:gridCol w:w="4513"/>
        <w:tblGridChange w:id="0">
          <w:tblGrid>
            <w:gridCol w:w="4512"/>
            <w:gridCol w:w="4513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keepLines w:val="1"/>
              <w:spacing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7"/>
                <w:szCs w:val="27"/>
                <w:rtl w:val="0"/>
              </w:rPr>
              <w:t xml:space="preserve">1. IDENTIFICAÇÃO DO(A) SERVIDOR(A):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keepLines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Nome: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keepLines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Situação do requerente:  Ativo Permanente ( )     Aposentado ( )   </w:t>
            </w:r>
            <w:r w:rsidDel="00000000" w:rsidR="00000000" w:rsidRPr="00000000">
              <w:rPr>
                <w:rtl w:val="0"/>
              </w:rPr>
              <w:t xml:space="preserve">   Pensionista ( )    </w:t>
            </w:r>
            <w:r w:rsidDel="00000000" w:rsidR="00000000" w:rsidRPr="00000000">
              <w:rPr>
                <w:rtl w:val="0"/>
              </w:rPr>
              <w:t xml:space="preserve">              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keepLines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Pensionista: 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keepLines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Matrícula Siape: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keepLines w:val="1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CPF: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7.9785156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keepLines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Email: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keepLines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Telefone: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keepLines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Câmpus: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keepLines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Titulação Atual:</w:t>
            </w:r>
          </w:p>
        </w:tc>
      </w:tr>
    </w:tbl>
    <w:p w:rsidR="00000000" w:rsidDel="00000000" w:rsidP="00000000" w:rsidRDefault="00000000" w:rsidRPr="00000000" w14:paraId="00000011">
      <w:pPr>
        <w:keepLines w:val="1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Lines w:val="1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985"/>
        <w:gridCol w:w="3015"/>
        <w:gridCol w:w="3029"/>
        <w:tblGridChange w:id="0">
          <w:tblGrid>
            <w:gridCol w:w="2985"/>
            <w:gridCol w:w="3015"/>
            <w:gridCol w:w="3029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keepLines w:val="1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2. Tipo de Solicitação: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keepLines w:val="1"/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RSC I (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keepLines w:val="1"/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RSC II (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keepLines w:val="1"/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RSC III ( )</w:t>
            </w:r>
          </w:p>
        </w:tc>
      </w:tr>
    </w:tbl>
    <w:p w:rsidR="00000000" w:rsidDel="00000000" w:rsidP="00000000" w:rsidRDefault="00000000" w:rsidRPr="00000000" w14:paraId="0000001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Assinado Eletronicamente ou de forma física</w:t>
      </w: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rHeight w:val="434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PROCEDIMENTOS</w:t>
            </w:r>
            <w:r w:rsidDel="00000000" w:rsidR="00000000" w:rsidRPr="00000000">
              <w:rPr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1"/>
              </w:numPr>
              <w:spacing w:after="240" w:before="240" w:line="240" w:lineRule="auto"/>
              <w:ind w:left="72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Para servidores ativos:</w:t>
            </w:r>
          </w:p>
          <w:p w:rsidR="00000000" w:rsidDel="00000000" w:rsidP="00000000" w:rsidRDefault="00000000" w:rsidRPr="00000000" w14:paraId="0000001C">
            <w:pPr>
              <w:spacing w:after="240" w:before="24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 interessado deverá preencher e assinar eletronicamente o documento.</w:t>
            </w:r>
          </w:p>
          <w:p w:rsidR="00000000" w:rsidDel="00000000" w:rsidP="00000000" w:rsidRDefault="00000000" w:rsidRPr="00000000" w14:paraId="0000001D">
            <w:pPr>
              <w:spacing w:after="240" w:before="240" w:line="240" w:lineRule="auto"/>
              <w:ind w:left="720" w:hanging="360"/>
              <w:jc w:val="both"/>
              <w:rPr>
                <w:b w:val="1"/>
                <w:color w:val="292929"/>
                <w:sz w:val="20"/>
                <w:szCs w:val="20"/>
                <w:shd w:fill="f9f9f9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color w:val="000000"/>
                <w:rtl w:val="0"/>
              </w:rPr>
              <w:t xml:space="preserve">Abertura de processo SUAP </w:t>
            </w:r>
            <w:r w:rsidDel="00000000" w:rsidR="00000000" w:rsidRPr="00000000">
              <w:rPr>
                <w:rtl w:val="0"/>
              </w:rPr>
              <w:t xml:space="preserve">com </w:t>
            </w:r>
            <w:r w:rsidDel="00000000" w:rsidR="00000000" w:rsidRPr="00000000">
              <w:rPr>
                <w:color w:val="000000"/>
                <w:rtl w:val="0"/>
              </w:rPr>
              <w:t xml:space="preserve">o tipo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Pessoal:</w:t>
            </w:r>
            <w:r w:rsidDel="00000000" w:rsidR="00000000" w:rsidRPr="00000000">
              <w:rPr>
                <w:b w:val="1"/>
                <w:color w:val="292929"/>
                <w:sz w:val="20"/>
                <w:szCs w:val="20"/>
                <w:shd w:fill="f9f9f9" w:val="clear"/>
                <w:rtl w:val="0"/>
              </w:rPr>
              <w:t xml:space="preserve"> Reconhecimento de Saberes e Competências - RSC</w:t>
            </w:r>
          </w:p>
          <w:p w:rsidR="00000000" w:rsidDel="00000000" w:rsidP="00000000" w:rsidRDefault="00000000" w:rsidRPr="00000000" w14:paraId="0000001E">
            <w:pPr>
              <w:spacing w:after="240" w:before="240" w:line="240" w:lineRule="auto"/>
              <w:ind w:left="720" w:hanging="360"/>
              <w:jc w:val="both"/>
              <w:rPr>
                <w:color w:val="292929"/>
                <w:sz w:val="20"/>
                <w:szCs w:val="20"/>
                <w:shd w:fill="f9f9f9" w:val="clear"/>
              </w:rPr>
            </w:pPr>
            <w:r w:rsidDel="00000000" w:rsidR="00000000" w:rsidRPr="00000000">
              <w:rPr>
                <w:color w:val="292929"/>
                <w:sz w:val="20"/>
                <w:szCs w:val="20"/>
                <w:shd w:fill="f9f9f9" w:val="clear"/>
                <w:rtl w:val="0"/>
              </w:rPr>
              <w:t xml:space="preserve">c) Apensar os documentos comprobatórios disponíveis em: </w:t>
            </w:r>
            <w:hyperlink r:id="rId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shd w:fill="f9f9f9" w:val="clear"/>
                  <w:rtl w:val="0"/>
                </w:rPr>
                <w:t xml:space="preserve">https://ifsp.edu.br/component/content/article/105-assuntos/gestao-de-pessoas/2852-reconhecimento-de-saberes-e-competencias-rsc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240" w:before="240" w:line="240" w:lineRule="auto"/>
              <w:ind w:left="720" w:hanging="360"/>
              <w:jc w:val="both"/>
              <w:rPr>
                <w:color w:val="292929"/>
                <w:sz w:val="20"/>
                <w:szCs w:val="20"/>
                <w:shd w:fill="f9f9f9" w:val="clear"/>
              </w:rPr>
            </w:pPr>
            <w:r w:rsidDel="00000000" w:rsidR="00000000" w:rsidRPr="00000000">
              <w:rPr>
                <w:color w:val="292929"/>
                <w:sz w:val="20"/>
                <w:szCs w:val="20"/>
                <w:shd w:fill="f9f9f9" w:val="clear"/>
                <w:rtl w:val="0"/>
              </w:rPr>
              <w:t xml:space="preserve">d) Enviar o processo à Coordenadoria de Gestão de Pessoas do câmpus de exercício do solicitante.</w:t>
            </w:r>
          </w:p>
          <w:p w:rsidR="00000000" w:rsidDel="00000000" w:rsidP="00000000" w:rsidRDefault="00000000" w:rsidRPr="00000000" w14:paraId="00000020">
            <w:pPr>
              <w:spacing w:after="240" w:before="240" w:line="240" w:lineRule="auto"/>
              <w:ind w:left="720" w:hanging="360"/>
              <w:jc w:val="both"/>
              <w:rPr>
                <w:color w:val="292929"/>
                <w:sz w:val="20"/>
                <w:szCs w:val="20"/>
                <w:shd w:fill="f9f9f9" w:val="clear"/>
              </w:rPr>
            </w:pPr>
            <w:r w:rsidDel="00000000" w:rsidR="00000000" w:rsidRPr="00000000">
              <w:rPr>
                <w:color w:val="292929"/>
                <w:sz w:val="20"/>
                <w:szCs w:val="20"/>
                <w:shd w:fill="f9f9f9" w:val="clear"/>
                <w:rtl w:val="0"/>
              </w:rPr>
              <w:t xml:space="preserve">e) O setor deverá analisar o processo e enviar ao destinatário  RSC-DGP.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1"/>
              </w:numPr>
              <w:spacing w:after="240" w:before="240" w:line="240" w:lineRule="auto"/>
              <w:ind w:left="720" w:hanging="360"/>
              <w:jc w:val="both"/>
            </w:pPr>
            <w:r w:rsidDel="00000000" w:rsidR="00000000" w:rsidRPr="00000000">
              <w:rPr>
                <w:rtl w:val="0"/>
              </w:rPr>
              <w:t xml:space="preserve">Para aposentados ou beneficiários de pensão: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240" w:before="240" w:line="240" w:lineRule="auto"/>
              <w:ind w:left="720" w:hanging="360"/>
              <w:jc w:val="both"/>
              <w:rPr>
                <w:b w:val="1"/>
                <w:color w:val="292929"/>
                <w:sz w:val="20"/>
                <w:szCs w:val="20"/>
                <w:shd w:fill="f9f9f9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240" w:before="24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Preencher o requerimento na versão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word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 assinar;</w:t>
            </w:r>
          </w:p>
          <w:p w:rsidR="00000000" w:rsidDel="00000000" w:rsidP="00000000" w:rsidRDefault="00000000" w:rsidRPr="00000000" w14:paraId="00000024">
            <w:pPr>
              <w:spacing w:after="240" w:before="240" w:line="240" w:lineRule="auto"/>
              <w:ind w:left="720" w:hanging="36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b)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 processo poderá ser aberto pela Comissão Permanente de Pessoal Docente (CPPD) ou pela Coordenadoria de Gestão de Pessoas do Câmpus, que auxiliarão o solicitante a apensar as documentações comprobatórias necessárias e posteriormente enviar ao setor </w:t>
            </w:r>
            <w:r w:rsidDel="00000000" w:rsidR="00000000" w:rsidRPr="00000000">
              <w:rPr>
                <w:rFonts w:ascii="Calibri" w:cs="Calibri" w:eastAsia="Calibri" w:hAnsi="Calibri"/>
                <w:highlight w:val="yellow"/>
                <w:rtl w:val="0"/>
              </w:rPr>
              <w:t xml:space="preserve">RSC-DGP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, via Suap.</w:t>
            </w:r>
          </w:p>
          <w:p w:rsidR="00000000" w:rsidDel="00000000" w:rsidP="00000000" w:rsidRDefault="00000000" w:rsidRPr="00000000" w14:paraId="00000025">
            <w:pPr>
              <w:spacing w:after="240" w:before="240" w:line="240" w:lineRule="auto"/>
              <w:ind w:left="720" w:hanging="36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* Maiores informações poderão ser obtidas em: </w:t>
            </w:r>
            <w:hyperlink r:id="rId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shd w:fill="f9f9f9" w:val="clear"/>
                  <w:rtl w:val="0"/>
                </w:rPr>
                <w:t xml:space="preserve">https://ifsp.edu.br/component/content/article/105-assuntos/gestao-de-pessoas/2852-reconhecimento-de-saberes-e-competencias-rsc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240" w:before="240" w:line="240" w:lineRule="auto"/>
              <w:jc w:val="both"/>
              <w:rPr>
                <w:b w:val="1"/>
                <w:color w:val="2929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Fundamentação Legal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: Art.18 da Lei nº 12.772 de 28/12/2012, Resolução Normativa IFSP nº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vertAlign w:val="superscript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12 de 06/09/2022 e  Resoluções CPRSC nº 03 de 08/07/2021  e CPRSC nº  05  de 19/11/2021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480" w:lineRule="auto"/>
    </w:pPr>
    <w:rPr>
      <w:b w:val="1"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 w:lineRule="auto"/>
    </w:pPr>
    <w:rPr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 w:lineRule="auto"/>
    </w:pPr>
    <w:rPr>
      <w:b w:val="1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spacing w:after="300" w:lineRule="auto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ifsp.edu.br/component/content/article/105-assuntos/gestao-de-pessoas/2852-reconhecimento-de-saberes-e-competencias-rsc" TargetMode="External"/><Relationship Id="rId7" Type="http://schemas.openxmlformats.org/officeDocument/2006/relationships/hyperlink" Target="https://ifsp.edu.br/component/content/article/105-assuntos/gestao-de-pessoas/2852-reconhecimento-de-saberes-e-competencias-rs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